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Bollnäs kommunfullmäktige</w:t>
      </w:r>
    </w:p>
    <w:p>
      <w:pPr>
        <w:pStyle w:val="Heading1"/>
      </w:pPr>
      <w:r>
        <w:t xml:space="preserve">Obligatorisk språkutbildning för nyanlända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Bollnäs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Andelen utrikes födda i arbete är lägre än genomsnittet i Gävleborg. Bristande svenskkunskaper är ett hinder enligt Arbetsförmedlingen. Obligatorisk språkutbildning kopplad till etableringsersättning förbättrar integrationen.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Bollnäs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obligatorisk SFI med närvarokontroll för alla nyanlända.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erbjuda yrkesinriktad svenska parallellt med praktik.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samarbeta med näringslivet för språkpraktikplatser.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följa upp resultat i en årlig integrationsrapport.</w:t>
      </w:r>
    </w:p>
    <w:p>
      <w:pPr>
        <w:spacing w:before="360"/>
      </w:pPr>
    </w:p>
    <w:p>
      <w:r>
        <w:t xml:space="preserve">Bollnäs,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Bollnäs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2026-07-14T02:28:18.296Z</dcterms:created>
  <dcterms:modified xsi:type="dcterms:W3CDTF">2026-07-14T02:28:18.296Z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